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F0F" w:rsidRPr="00EB31B0" w:rsidRDefault="006A5F0F" w:rsidP="006A5F0F">
      <w:pPr>
        <w:ind w:left="426"/>
        <w:rPr>
          <w:rFonts w:ascii="Times New Roman" w:hAnsi="Times New Roman" w:cs="Times New Roman"/>
          <w:b/>
          <w:sz w:val="24"/>
          <w:szCs w:val="24"/>
          <w:lang w:eastAsia="vi-VN"/>
        </w:rPr>
      </w:pPr>
      <w:r w:rsidRPr="00EB31B0">
        <w:rPr>
          <w:rFonts w:ascii="Times New Roman" w:hAnsi="Times New Roman" w:cs="Times New Roman"/>
          <w:b/>
          <w:bCs/>
          <w:sz w:val="24"/>
          <w:szCs w:val="24"/>
        </w:rPr>
        <w:t xml:space="preserve">    </w:t>
      </w:r>
      <w:r w:rsidRPr="00EB31B0">
        <w:rPr>
          <w:rFonts w:ascii="Times New Roman" w:hAnsi="Times New Roman" w:cs="Times New Roman"/>
          <w:b/>
          <w:sz w:val="24"/>
          <w:szCs w:val="24"/>
          <w:lang w:eastAsia="vi-VN"/>
        </w:rPr>
        <w:t xml:space="preserve">Đơn vị báo cáo:…                                  </w:t>
      </w:r>
      <w:r>
        <w:rPr>
          <w:rFonts w:ascii="Times New Roman" w:hAnsi="Times New Roman" w:cs="Times New Roman"/>
          <w:b/>
          <w:sz w:val="24"/>
          <w:szCs w:val="24"/>
          <w:lang w:eastAsia="vi-VN"/>
        </w:rPr>
        <w:t xml:space="preserve">             </w:t>
      </w:r>
      <w:r w:rsidR="00717DF6">
        <w:rPr>
          <w:rFonts w:ascii="Times New Roman" w:hAnsi="Times New Roman" w:cs="Times New Roman"/>
          <w:b/>
          <w:sz w:val="24"/>
          <w:szCs w:val="24"/>
          <w:lang w:eastAsia="vi-VN"/>
        </w:rPr>
        <w:t xml:space="preserve">                  </w:t>
      </w:r>
      <w:bookmarkStart w:id="0" w:name="_GoBack"/>
      <w:bookmarkEnd w:id="0"/>
      <w:r w:rsidRPr="00EB31B0">
        <w:rPr>
          <w:rFonts w:ascii="Times New Roman" w:hAnsi="Times New Roman" w:cs="Times New Roman"/>
          <w:b/>
          <w:sz w:val="24"/>
          <w:szCs w:val="24"/>
        </w:rPr>
        <w:t xml:space="preserve">Biểu số </w:t>
      </w:r>
      <w:r>
        <w:rPr>
          <w:rFonts w:ascii="Times New Roman" w:hAnsi="Times New Roman" w:cs="Times New Roman"/>
          <w:b/>
          <w:sz w:val="24"/>
          <w:szCs w:val="24"/>
        </w:rPr>
        <w:t>14</w:t>
      </w:r>
      <w:r w:rsidR="00717DF6">
        <w:rPr>
          <w:rFonts w:ascii="Times New Roman" w:hAnsi="Times New Roman" w:cs="Times New Roman"/>
          <w:b/>
          <w:sz w:val="24"/>
          <w:szCs w:val="24"/>
        </w:rPr>
        <w:t>a</w:t>
      </w:r>
      <w:r w:rsidRPr="00EB31B0">
        <w:rPr>
          <w:rFonts w:ascii="Times New Roman" w:hAnsi="Times New Roman" w:cs="Times New Roman"/>
          <w:b/>
          <w:sz w:val="24"/>
          <w:szCs w:val="24"/>
        </w:rPr>
        <w:t>-NHPT/TTGS</w:t>
      </w:r>
      <w:r w:rsidRPr="00EB31B0">
        <w:rPr>
          <w:rFonts w:ascii="Times New Roman" w:hAnsi="Times New Roman" w:cs="Times New Roman"/>
          <w:b/>
          <w:sz w:val="24"/>
          <w:szCs w:val="24"/>
          <w:lang w:eastAsia="vi-VN"/>
        </w:rPr>
        <w:t xml:space="preserve"> </w:t>
      </w:r>
    </w:p>
    <w:p w:rsidR="006A5F0F" w:rsidRPr="00EB31B0" w:rsidRDefault="006A5F0F" w:rsidP="006A5F0F">
      <w:pPr>
        <w:rPr>
          <w:rFonts w:ascii="Times New Roman" w:hAnsi="Times New Roman" w:cs="Times New Roman"/>
          <w:b/>
          <w:sz w:val="24"/>
          <w:szCs w:val="24"/>
          <w:lang w:eastAsia="vi-VN"/>
        </w:rPr>
      </w:pPr>
      <w:r w:rsidRPr="00EB31B0">
        <w:rPr>
          <w:rFonts w:ascii="Times New Roman" w:hAnsi="Times New Roman" w:cs="Times New Roman"/>
          <w:b/>
          <w:sz w:val="24"/>
          <w:szCs w:val="24"/>
          <w:lang w:eastAsia="vi-VN"/>
        </w:rPr>
        <w:t xml:space="preserve">                                      </w:t>
      </w:r>
    </w:p>
    <w:tbl>
      <w:tblPr>
        <w:tblW w:w="11907" w:type="dxa"/>
        <w:jc w:val="center"/>
        <w:tblLayout w:type="fixed"/>
        <w:tblLook w:val="04A0" w:firstRow="1" w:lastRow="0" w:firstColumn="1" w:lastColumn="0" w:noHBand="0" w:noVBand="1"/>
      </w:tblPr>
      <w:tblGrid>
        <w:gridCol w:w="11907"/>
      </w:tblGrid>
      <w:tr w:rsidR="006A5F0F" w:rsidRPr="00EB31B0" w:rsidTr="000240E9">
        <w:trPr>
          <w:trHeight w:val="279"/>
          <w:jc w:val="center"/>
        </w:trPr>
        <w:tc>
          <w:tcPr>
            <w:tcW w:w="11907" w:type="dxa"/>
            <w:tcBorders>
              <w:top w:val="nil"/>
              <w:left w:val="nil"/>
              <w:bottom w:val="nil"/>
              <w:right w:val="nil"/>
            </w:tcBorders>
            <w:shd w:val="clear" w:color="auto" w:fill="auto"/>
            <w:noWrap/>
            <w:vAlign w:val="bottom"/>
          </w:tcPr>
          <w:p w:rsidR="006A5F0F" w:rsidRDefault="006A5F0F" w:rsidP="006A5F0F">
            <w:pPr>
              <w:pStyle w:val="Heading3"/>
              <w:ind w:firstLine="0"/>
              <w:jc w:val="center"/>
              <w:rPr>
                <w:rFonts w:ascii="Times New Roman" w:hAnsi="Times New Roman"/>
                <w:sz w:val="28"/>
                <w:szCs w:val="28"/>
              </w:rPr>
            </w:pPr>
            <w:r w:rsidRPr="00EB31B0">
              <w:rPr>
                <w:rFonts w:ascii="Times New Roman" w:hAnsi="Times New Roman"/>
                <w:sz w:val="28"/>
                <w:szCs w:val="28"/>
              </w:rPr>
              <w:t xml:space="preserve">BÁO CÁO </w:t>
            </w:r>
            <w:r>
              <w:rPr>
                <w:rFonts w:ascii="Times New Roman" w:hAnsi="Times New Roman"/>
                <w:sz w:val="28"/>
                <w:szCs w:val="28"/>
              </w:rPr>
              <w:t>CÁC CHỈ TIÊU LIÊN QUAN ĐẾN</w:t>
            </w:r>
          </w:p>
          <w:p w:rsidR="006A5F0F" w:rsidRPr="006A5F0F" w:rsidRDefault="006A5F0F" w:rsidP="006A5F0F">
            <w:pPr>
              <w:jc w:val="center"/>
              <w:rPr>
                <w:rFonts w:ascii="Times New Roman" w:hAnsi="Times New Roman" w:cs="Times New Roman"/>
                <w:b/>
                <w:bCs/>
              </w:rPr>
            </w:pPr>
            <w:r w:rsidRPr="006A5F0F">
              <w:rPr>
                <w:rFonts w:ascii="Times New Roman" w:hAnsi="Times New Roman" w:cs="Times New Roman"/>
                <w:b/>
                <w:bCs/>
              </w:rPr>
              <w:t>DƯ NỢ CHO VAY SO VỚI TỔNG NGUỒN VỐN ĐƯỢC SỬ DỤNG ĐỂ CHO VAY</w:t>
            </w:r>
          </w:p>
        </w:tc>
      </w:tr>
      <w:tr w:rsidR="006A5F0F" w:rsidRPr="00EB31B0" w:rsidTr="000240E9">
        <w:trPr>
          <w:trHeight w:val="294"/>
          <w:jc w:val="center"/>
        </w:trPr>
        <w:tc>
          <w:tcPr>
            <w:tcW w:w="11907" w:type="dxa"/>
            <w:tcBorders>
              <w:top w:val="nil"/>
              <w:left w:val="nil"/>
              <w:bottom w:val="nil"/>
              <w:right w:val="nil"/>
            </w:tcBorders>
            <w:shd w:val="clear" w:color="auto" w:fill="auto"/>
            <w:noWrap/>
            <w:vAlign w:val="bottom"/>
          </w:tcPr>
          <w:p w:rsidR="006A5F0F" w:rsidRPr="00EB31B0" w:rsidRDefault="006A5F0F" w:rsidP="000240E9">
            <w:pPr>
              <w:jc w:val="center"/>
              <w:rPr>
                <w:rFonts w:ascii="Times New Roman" w:hAnsi="Times New Roman" w:cs="Times New Roman"/>
                <w:i/>
                <w:sz w:val="24"/>
                <w:szCs w:val="24"/>
                <w:lang w:eastAsia="vi-VN"/>
              </w:rPr>
            </w:pPr>
            <w:r>
              <w:rPr>
                <w:rFonts w:ascii="Times New Roman" w:hAnsi="Times New Roman" w:cs="Times New Roman"/>
                <w:i/>
                <w:sz w:val="24"/>
                <w:szCs w:val="24"/>
                <w:lang w:eastAsia="vi-VN"/>
              </w:rPr>
              <w:t>(Tháng</w:t>
            </w:r>
            <w:r w:rsidRPr="00EB31B0">
              <w:rPr>
                <w:rFonts w:ascii="Times New Roman" w:hAnsi="Times New Roman" w:cs="Times New Roman"/>
                <w:i/>
                <w:sz w:val="24"/>
                <w:szCs w:val="24"/>
                <w:lang w:eastAsia="vi-VN"/>
              </w:rPr>
              <w:t xml:space="preserve"> … năm …)</w:t>
            </w:r>
          </w:p>
        </w:tc>
      </w:tr>
    </w:tbl>
    <w:p w:rsidR="007E06B6" w:rsidRDefault="006A5F0F" w:rsidP="006A5F0F">
      <w:pPr>
        <w:tabs>
          <w:tab w:val="left" w:pos="108"/>
          <w:tab w:val="left" w:pos="7621"/>
        </w:tabs>
        <w:ind w:left="-601"/>
        <w:jc w:val="right"/>
        <w:rPr>
          <w:rFonts w:ascii="Times New Roman" w:hAnsi="Times New Roman" w:cs="Times New Roman"/>
          <w:b/>
          <w:sz w:val="24"/>
          <w:szCs w:val="24"/>
          <w:lang w:eastAsia="vi-VN"/>
        </w:rPr>
      </w:pPr>
      <w:r w:rsidRPr="00EB31B0">
        <w:rPr>
          <w:rFonts w:ascii="Times New Roman" w:hAnsi="Times New Roman" w:cs="Times New Roman"/>
          <w:sz w:val="24"/>
          <w:szCs w:val="24"/>
          <w:lang w:eastAsia="vi-VN"/>
        </w:rPr>
        <w:tab/>
      </w:r>
      <w:r w:rsidRPr="00EB31B0">
        <w:rPr>
          <w:rFonts w:ascii="Times New Roman" w:hAnsi="Times New Roman" w:cs="Times New Roman"/>
          <w:i/>
          <w:sz w:val="24"/>
          <w:szCs w:val="24"/>
          <w:lang w:eastAsia="vi-VN"/>
        </w:rPr>
        <w:t>Đơn vị tính: Triệu VND</w:t>
      </w:r>
      <w:r>
        <w:rPr>
          <w:rFonts w:ascii="Times New Roman" w:hAnsi="Times New Roman" w:cs="Times New Roman"/>
          <w:b/>
          <w:sz w:val="24"/>
          <w:szCs w:val="24"/>
          <w:lang w:eastAsia="vi-VN"/>
        </w:rPr>
        <w:t xml:space="preserve">, </w:t>
      </w:r>
      <w:r w:rsidRPr="006A5F0F">
        <w:rPr>
          <w:rFonts w:ascii="Times New Roman" w:hAnsi="Times New Roman" w:cs="Times New Roman"/>
          <w:i/>
          <w:sz w:val="24"/>
          <w:szCs w:val="24"/>
          <w:lang w:eastAsia="vi-VN"/>
        </w:rPr>
        <w:t>%</w:t>
      </w:r>
      <w:r w:rsidRPr="00EB31B0">
        <w:rPr>
          <w:rFonts w:ascii="Times New Roman" w:hAnsi="Times New Roman" w:cs="Times New Roman"/>
          <w:b/>
          <w:sz w:val="24"/>
          <w:szCs w:val="24"/>
          <w:lang w:eastAsia="vi-VN"/>
        </w:rPr>
        <w:t xml:space="preserve">      </w:t>
      </w:r>
    </w:p>
    <w:p w:rsidR="006A5F0F" w:rsidRPr="00EB31B0" w:rsidRDefault="006A5F0F" w:rsidP="006A5F0F">
      <w:pPr>
        <w:tabs>
          <w:tab w:val="left" w:pos="108"/>
          <w:tab w:val="left" w:pos="7621"/>
        </w:tabs>
        <w:ind w:left="-601"/>
        <w:jc w:val="right"/>
        <w:rPr>
          <w:rFonts w:ascii="Times New Roman" w:hAnsi="Times New Roman" w:cs="Times New Roman"/>
          <w:b/>
          <w:sz w:val="24"/>
          <w:szCs w:val="24"/>
          <w:lang w:eastAsia="vi-VN"/>
        </w:rPr>
      </w:pPr>
      <w:r w:rsidRPr="00EB31B0">
        <w:rPr>
          <w:rFonts w:ascii="Times New Roman" w:hAnsi="Times New Roman" w:cs="Times New Roman"/>
          <w:b/>
          <w:sz w:val="24"/>
          <w:szCs w:val="24"/>
          <w:lang w:eastAsia="vi-VN"/>
        </w:rPr>
        <w:t xml:space="preserve">                                                        </w:t>
      </w:r>
    </w:p>
    <w:tbl>
      <w:tblPr>
        <w:tblW w:w="5075" w:type="pct"/>
        <w:tblInd w:w="137" w:type="dxa"/>
        <w:tblLook w:val="04A0" w:firstRow="1" w:lastRow="0" w:firstColumn="1" w:lastColumn="0" w:noHBand="0" w:noVBand="1"/>
      </w:tblPr>
      <w:tblGrid>
        <w:gridCol w:w="816"/>
        <w:gridCol w:w="7485"/>
        <w:gridCol w:w="1125"/>
      </w:tblGrid>
      <w:tr w:rsidR="006A5F0F" w:rsidRPr="00EB31B0" w:rsidTr="00C03D15">
        <w:trPr>
          <w:trHeight w:val="510"/>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5F0F" w:rsidRPr="007E06B6" w:rsidRDefault="006A5F0F" w:rsidP="000240E9">
            <w:pPr>
              <w:jc w:val="center"/>
              <w:rPr>
                <w:rFonts w:ascii="Times New Roman" w:hAnsi="Times New Roman" w:cs="Times New Roman"/>
                <w:b/>
                <w:sz w:val="24"/>
                <w:szCs w:val="24"/>
                <w:lang w:eastAsia="vi-VN"/>
              </w:rPr>
            </w:pPr>
            <w:r w:rsidRPr="007E06B6">
              <w:rPr>
                <w:rFonts w:ascii="Times New Roman" w:hAnsi="Times New Roman" w:cs="Times New Roman"/>
                <w:b/>
                <w:sz w:val="24"/>
                <w:szCs w:val="24"/>
                <w:lang w:eastAsia="vi-VN"/>
              </w:rPr>
              <w:t>STT</w:t>
            </w:r>
          </w:p>
        </w:tc>
        <w:tc>
          <w:tcPr>
            <w:tcW w:w="3970" w:type="pct"/>
            <w:tcBorders>
              <w:top w:val="single" w:sz="4" w:space="0" w:color="auto"/>
              <w:left w:val="nil"/>
              <w:bottom w:val="single" w:sz="4" w:space="0" w:color="auto"/>
              <w:right w:val="single" w:sz="4" w:space="0" w:color="auto"/>
            </w:tcBorders>
            <w:shd w:val="clear" w:color="auto" w:fill="auto"/>
            <w:noWrap/>
            <w:vAlign w:val="center"/>
          </w:tcPr>
          <w:p w:rsidR="006A5F0F" w:rsidRPr="007E06B6" w:rsidRDefault="006A5F0F" w:rsidP="000240E9">
            <w:pPr>
              <w:jc w:val="center"/>
              <w:rPr>
                <w:rFonts w:ascii="Times New Roman" w:hAnsi="Times New Roman" w:cs="Times New Roman"/>
                <w:b/>
                <w:sz w:val="24"/>
                <w:szCs w:val="24"/>
                <w:lang w:eastAsia="vi-VN"/>
              </w:rPr>
            </w:pPr>
            <w:r w:rsidRPr="007E06B6">
              <w:rPr>
                <w:rFonts w:ascii="Times New Roman" w:hAnsi="Times New Roman" w:cs="Times New Roman"/>
                <w:b/>
                <w:sz w:val="24"/>
                <w:szCs w:val="24"/>
                <w:lang w:eastAsia="vi-VN"/>
              </w:rPr>
              <w:t>Tên chỉ tiêu</w:t>
            </w:r>
          </w:p>
        </w:tc>
        <w:tc>
          <w:tcPr>
            <w:tcW w:w="597" w:type="pct"/>
            <w:tcBorders>
              <w:top w:val="single" w:sz="4" w:space="0" w:color="auto"/>
              <w:left w:val="nil"/>
              <w:bottom w:val="single" w:sz="4" w:space="0" w:color="auto"/>
              <w:right w:val="single" w:sz="4" w:space="0" w:color="auto"/>
            </w:tcBorders>
            <w:shd w:val="clear" w:color="auto" w:fill="auto"/>
            <w:noWrap/>
            <w:vAlign w:val="center"/>
          </w:tcPr>
          <w:p w:rsidR="006A5F0F" w:rsidRPr="00EB31B0" w:rsidRDefault="006A5F0F" w:rsidP="000240E9">
            <w:pPr>
              <w:jc w:val="center"/>
              <w:rPr>
                <w:rFonts w:ascii="Times New Roman" w:hAnsi="Times New Roman" w:cs="Times New Roman"/>
                <w:b/>
                <w:sz w:val="24"/>
                <w:szCs w:val="24"/>
                <w:lang w:eastAsia="vi-VN"/>
              </w:rPr>
            </w:pPr>
            <w:r>
              <w:rPr>
                <w:rFonts w:ascii="Times New Roman" w:hAnsi="Times New Roman" w:cs="Times New Roman"/>
                <w:b/>
                <w:sz w:val="24"/>
                <w:szCs w:val="24"/>
                <w:lang w:eastAsia="vi-VN"/>
              </w:rPr>
              <w:t>Giá trị</w:t>
            </w:r>
          </w:p>
        </w:tc>
      </w:tr>
      <w:tr w:rsidR="006A5F0F" w:rsidRPr="00EB31B0" w:rsidTr="00C03D15">
        <w:trPr>
          <w:trHeight w:val="510"/>
        </w:trPr>
        <w:tc>
          <w:tcPr>
            <w:tcW w:w="433" w:type="pct"/>
            <w:tcBorders>
              <w:top w:val="nil"/>
              <w:left w:val="single" w:sz="4" w:space="0" w:color="auto"/>
              <w:bottom w:val="single" w:sz="4" w:space="0" w:color="auto"/>
              <w:right w:val="single" w:sz="4" w:space="0" w:color="auto"/>
            </w:tcBorders>
            <w:shd w:val="clear" w:color="auto" w:fill="auto"/>
            <w:noWrap/>
            <w:vAlign w:val="center"/>
          </w:tcPr>
          <w:p w:rsidR="006A5F0F" w:rsidRPr="00BB3B09" w:rsidRDefault="007E06B6" w:rsidP="000240E9">
            <w:pPr>
              <w:jc w:val="center"/>
              <w:rPr>
                <w:rFonts w:ascii="Times New Roman" w:hAnsi="Times New Roman" w:cs="Times New Roman"/>
                <w:b/>
                <w:color w:val="FF0000"/>
                <w:sz w:val="24"/>
                <w:szCs w:val="24"/>
                <w:lang w:eastAsia="vi-VN"/>
              </w:rPr>
            </w:pPr>
            <w:r w:rsidRPr="00BB3B09">
              <w:rPr>
                <w:rFonts w:ascii="Times New Roman" w:hAnsi="Times New Roman" w:cs="Times New Roman"/>
                <w:b/>
                <w:color w:val="FF0000"/>
                <w:sz w:val="24"/>
                <w:szCs w:val="24"/>
                <w:lang w:eastAsia="vi-VN"/>
              </w:rPr>
              <w:t>1</w:t>
            </w:r>
          </w:p>
        </w:tc>
        <w:tc>
          <w:tcPr>
            <w:tcW w:w="3970" w:type="pct"/>
            <w:tcBorders>
              <w:top w:val="nil"/>
              <w:left w:val="nil"/>
              <w:bottom w:val="single" w:sz="4" w:space="0" w:color="auto"/>
              <w:right w:val="single" w:sz="4" w:space="0" w:color="auto"/>
            </w:tcBorders>
            <w:shd w:val="clear" w:color="auto" w:fill="auto"/>
            <w:noWrap/>
            <w:vAlign w:val="center"/>
          </w:tcPr>
          <w:p w:rsidR="006A5F0F" w:rsidRPr="007E06B6" w:rsidRDefault="006A5F0F" w:rsidP="007E06B6">
            <w:pPr>
              <w:rPr>
                <w:rFonts w:ascii="Times New Roman" w:hAnsi="Times New Roman" w:cs="Times New Roman"/>
                <w:b/>
                <w:sz w:val="24"/>
                <w:szCs w:val="24"/>
                <w:lang w:eastAsia="vi-VN"/>
              </w:rPr>
            </w:pPr>
            <w:r w:rsidRPr="007E06B6">
              <w:rPr>
                <w:rFonts w:ascii="Times New Roman" w:hAnsi="Times New Roman" w:cs="Times New Roman"/>
                <w:b/>
                <w:sz w:val="24"/>
                <w:szCs w:val="24"/>
                <w:lang w:eastAsia="vi-VN"/>
              </w:rPr>
              <w:t>Tổng dư nợ cho vay</w:t>
            </w:r>
            <w:r w:rsidR="00E00638" w:rsidRPr="007E06B6">
              <w:rPr>
                <w:rFonts w:ascii="Times New Roman" w:hAnsi="Times New Roman" w:cs="Times New Roman"/>
                <w:b/>
                <w:sz w:val="24"/>
                <w:szCs w:val="24"/>
                <w:lang w:eastAsia="vi-VN"/>
              </w:rPr>
              <w:t xml:space="preserve">  </w:t>
            </w:r>
            <w:r w:rsidR="00E00638" w:rsidRPr="007E06B6">
              <w:rPr>
                <w:rFonts w:ascii="Times New Roman" w:hAnsi="Times New Roman" w:cs="Times New Roman"/>
                <w:b/>
                <w:color w:val="FF0000"/>
                <w:sz w:val="24"/>
                <w:szCs w:val="24"/>
                <w:lang w:eastAsia="vi-VN"/>
              </w:rPr>
              <w:t>(</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 =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1+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2 +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3 +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4 +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5+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6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7 +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8 +</w:t>
            </w:r>
            <w:r w:rsidR="007E06B6" w:rsidRPr="007E06B6">
              <w:rPr>
                <w:rFonts w:ascii="Times New Roman" w:hAnsi="Times New Roman" w:cs="Times New Roman"/>
                <w:b/>
                <w:color w:val="FF0000"/>
                <w:sz w:val="24"/>
                <w:szCs w:val="24"/>
                <w:lang w:eastAsia="vi-VN"/>
              </w:rPr>
              <w:t>1.</w:t>
            </w:r>
            <w:r w:rsidR="00E00638" w:rsidRPr="007E06B6">
              <w:rPr>
                <w:rFonts w:ascii="Times New Roman" w:hAnsi="Times New Roman" w:cs="Times New Roman"/>
                <w:b/>
                <w:color w:val="FF0000"/>
                <w:sz w:val="24"/>
                <w:szCs w:val="24"/>
                <w:lang w:eastAsia="vi-VN"/>
              </w:rPr>
              <w:t xml:space="preserve"> 9)</w:t>
            </w:r>
          </w:p>
        </w:tc>
        <w:tc>
          <w:tcPr>
            <w:tcW w:w="597" w:type="pct"/>
            <w:tcBorders>
              <w:top w:val="nil"/>
              <w:left w:val="nil"/>
              <w:bottom w:val="single" w:sz="4" w:space="0" w:color="auto"/>
              <w:right w:val="single" w:sz="4" w:space="0" w:color="auto"/>
            </w:tcBorders>
            <w:shd w:val="clear" w:color="auto" w:fill="auto"/>
            <w:noWrap/>
            <w:vAlign w:val="center"/>
          </w:tcPr>
          <w:p w:rsidR="006A5F0F" w:rsidRPr="007E06B6" w:rsidRDefault="00C03D15" w:rsidP="000240E9">
            <w:pPr>
              <w:jc w:val="center"/>
              <w:rPr>
                <w:rFonts w:ascii="Times New Roman" w:hAnsi="Times New Roman" w:cs="Times New Roman"/>
                <w:i/>
                <w:color w:val="FF0000"/>
                <w:sz w:val="24"/>
                <w:szCs w:val="24"/>
                <w:lang w:eastAsia="vi-VN"/>
              </w:rPr>
            </w:pPr>
            <w:r>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1.1</w:t>
            </w:r>
          </w:p>
        </w:tc>
        <w:tc>
          <w:tcPr>
            <w:tcW w:w="3970" w:type="pct"/>
            <w:tcBorders>
              <w:top w:val="nil"/>
              <w:left w:val="nil"/>
              <w:bottom w:val="single" w:sz="4" w:space="0" w:color="auto"/>
              <w:right w:val="single" w:sz="4" w:space="0" w:color="auto"/>
            </w:tcBorders>
            <w:shd w:val="clear" w:color="auto" w:fill="auto"/>
            <w:noWrap/>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ngắn hạn hỗ trợ xuất khẩu</w:t>
            </w:r>
          </w:p>
        </w:tc>
        <w:tc>
          <w:tcPr>
            <w:tcW w:w="597" w:type="pct"/>
            <w:tcBorders>
              <w:top w:val="nil"/>
              <w:left w:val="nil"/>
              <w:bottom w:val="single" w:sz="4" w:space="0" w:color="auto"/>
              <w:right w:val="single" w:sz="4" w:space="0" w:color="auto"/>
            </w:tcBorders>
            <w:shd w:val="clear" w:color="auto" w:fill="auto"/>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1.2</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ngắn hạn chương trình đặc biệt của Chính phủ</w:t>
            </w:r>
          </w:p>
        </w:tc>
        <w:tc>
          <w:tcPr>
            <w:tcW w:w="597" w:type="pct"/>
            <w:tcBorders>
              <w:top w:val="nil"/>
              <w:left w:val="nil"/>
              <w:bottom w:val="single" w:sz="4" w:space="0" w:color="auto"/>
              <w:right w:val="single" w:sz="4" w:space="0" w:color="auto"/>
            </w:tcBorders>
            <w:shd w:val="clear" w:color="auto" w:fill="auto"/>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1.3</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trung hạn tín dụng đầu tư</w:t>
            </w:r>
          </w:p>
        </w:tc>
        <w:tc>
          <w:tcPr>
            <w:tcW w:w="597" w:type="pct"/>
            <w:tcBorders>
              <w:top w:val="nil"/>
              <w:left w:val="nil"/>
              <w:bottom w:val="single" w:sz="4" w:space="0" w:color="auto"/>
              <w:right w:val="single" w:sz="4" w:space="0" w:color="auto"/>
            </w:tcBorders>
            <w:shd w:val="clear" w:color="auto" w:fill="auto"/>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1.4</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trung hạn chương trình đặc biệt của Chính phủ</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1.5</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dài hạn tín dụng đầu tư</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1.6</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cho vay dài hạn chương trình đặc biệt của Chính phủ</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1.7</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vay bắt buộc bảo lãnh</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1.8</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các khoản cho vay khác (không bao gồm dư nợ nhận ủy thác cho vay của tổ chức, cá nhân trong và ngoài nước không chịu rủi ro)</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1.9</w:t>
            </w:r>
          </w:p>
        </w:tc>
        <w:tc>
          <w:tcPr>
            <w:tcW w:w="3970" w:type="pct"/>
            <w:tcBorders>
              <w:top w:val="nil"/>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Dư nợ các khoản nợ vay chờ xử lý.</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00638" w:rsidTr="00C03D15">
        <w:trPr>
          <w:trHeight w:val="567"/>
        </w:trPr>
        <w:tc>
          <w:tcPr>
            <w:tcW w:w="433" w:type="pct"/>
            <w:tcBorders>
              <w:top w:val="nil"/>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b/>
                <w:color w:val="FF0000"/>
                <w:sz w:val="24"/>
                <w:szCs w:val="24"/>
                <w:lang w:eastAsia="vi-VN"/>
              </w:rPr>
            </w:pPr>
            <w:r w:rsidRPr="00BB3B09">
              <w:rPr>
                <w:rFonts w:ascii="Times New Roman" w:hAnsi="Times New Roman" w:cs="Times New Roman"/>
                <w:b/>
                <w:color w:val="FF0000"/>
                <w:sz w:val="24"/>
                <w:szCs w:val="24"/>
                <w:lang w:eastAsia="vi-VN"/>
              </w:rPr>
              <w:t>2</w:t>
            </w:r>
          </w:p>
        </w:tc>
        <w:tc>
          <w:tcPr>
            <w:tcW w:w="3970" w:type="pct"/>
            <w:tcBorders>
              <w:top w:val="nil"/>
              <w:left w:val="nil"/>
              <w:bottom w:val="single" w:sz="4" w:space="0" w:color="auto"/>
              <w:right w:val="single" w:sz="4" w:space="0" w:color="auto"/>
            </w:tcBorders>
            <w:shd w:val="clear" w:color="auto" w:fill="auto"/>
            <w:vAlign w:val="center"/>
          </w:tcPr>
          <w:p w:rsidR="00C03D15" w:rsidRPr="00E00638" w:rsidRDefault="00C03D15" w:rsidP="00C03D15">
            <w:pPr>
              <w:jc w:val="both"/>
              <w:rPr>
                <w:rFonts w:ascii="Times New Roman" w:hAnsi="Times New Roman" w:cs="Times New Roman"/>
                <w:b/>
                <w:sz w:val="24"/>
                <w:szCs w:val="24"/>
                <w:lang w:eastAsia="vi-VN"/>
              </w:rPr>
            </w:pPr>
            <w:r w:rsidRPr="00E00638">
              <w:rPr>
                <w:rFonts w:ascii="Times New Roman" w:hAnsi="Times New Roman" w:cs="Times New Roman"/>
                <w:b/>
                <w:sz w:val="24"/>
                <w:szCs w:val="24"/>
                <w:lang w:eastAsia="vi-VN"/>
              </w:rPr>
              <w:t xml:space="preserve">Tổng  nguồn vốn được sử dụng để cho vay </w:t>
            </w:r>
            <w:r w:rsidRPr="007E06B6">
              <w:rPr>
                <w:rFonts w:ascii="Times New Roman" w:hAnsi="Times New Roman" w:cs="Times New Roman"/>
                <w:b/>
                <w:color w:val="FF0000"/>
                <w:sz w:val="24"/>
                <w:szCs w:val="24"/>
                <w:lang w:eastAsia="vi-VN"/>
              </w:rPr>
              <w:t>(2 = 2.1+2.2)</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b/>
                <w:color w:val="FF0000"/>
                <w:sz w:val="24"/>
                <w:szCs w:val="24"/>
                <w:lang w:eastAsia="vi-VN"/>
              </w:rPr>
            </w:pPr>
            <w:r w:rsidRPr="00BB3B09">
              <w:rPr>
                <w:rFonts w:ascii="Times New Roman" w:hAnsi="Times New Roman" w:cs="Times New Roman"/>
                <w:b/>
                <w:color w:val="FF0000"/>
                <w:sz w:val="24"/>
                <w:szCs w:val="24"/>
                <w:lang w:eastAsia="vi-VN"/>
              </w:rPr>
              <w:t>2.1</w:t>
            </w:r>
          </w:p>
        </w:tc>
        <w:tc>
          <w:tcPr>
            <w:tcW w:w="3970" w:type="pct"/>
            <w:tcBorders>
              <w:top w:val="nil"/>
              <w:left w:val="nil"/>
              <w:bottom w:val="single" w:sz="4" w:space="0" w:color="auto"/>
              <w:right w:val="single" w:sz="4" w:space="0" w:color="auto"/>
            </w:tcBorders>
            <w:shd w:val="clear" w:color="auto" w:fill="auto"/>
            <w:vAlign w:val="center"/>
          </w:tcPr>
          <w:p w:rsidR="00C03D15" w:rsidRPr="00A806BB" w:rsidRDefault="00C03D15" w:rsidP="00C03D15">
            <w:pPr>
              <w:jc w:val="both"/>
              <w:rPr>
                <w:rFonts w:ascii="Times New Roman" w:hAnsi="Times New Roman" w:cs="Times New Roman"/>
                <w:sz w:val="24"/>
                <w:szCs w:val="24"/>
                <w:lang w:eastAsia="vi-VN"/>
              </w:rPr>
            </w:pPr>
            <w:r w:rsidRPr="00A700D6">
              <w:rPr>
                <w:rFonts w:ascii="Times New Roman" w:hAnsi="Times New Roman" w:cs="Times New Roman"/>
                <w:i/>
                <w:sz w:val="24"/>
                <w:szCs w:val="24"/>
                <w:lang w:eastAsia="vi-VN"/>
              </w:rPr>
              <w:t>Vốn huy động được sử dụng để cho vay</w:t>
            </w:r>
            <w:r>
              <w:rPr>
                <w:rFonts w:ascii="Times New Roman" w:hAnsi="Times New Roman" w:cs="Times New Roman"/>
                <w:i/>
                <w:sz w:val="24"/>
                <w:szCs w:val="24"/>
                <w:lang w:eastAsia="vi-VN"/>
              </w:rPr>
              <w:t xml:space="preserve"> </w:t>
            </w:r>
            <w:r w:rsidRPr="007E06B6">
              <w:rPr>
                <w:rFonts w:ascii="Times New Roman" w:hAnsi="Times New Roman" w:cs="Times New Roman"/>
                <w:b/>
                <w:i/>
                <w:color w:val="FF0000"/>
                <w:sz w:val="24"/>
                <w:szCs w:val="24"/>
                <w:lang w:eastAsia="vi-VN"/>
              </w:rPr>
              <w:t>(2.1 = 2.1.1 + 2.1.2 +…+ 2.1.7)</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2.1.1</w:t>
            </w:r>
          </w:p>
        </w:tc>
        <w:tc>
          <w:tcPr>
            <w:tcW w:w="3970" w:type="pct"/>
            <w:tcBorders>
              <w:top w:val="nil"/>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Phát hành trái phiếu được Chính phủ bảo lãnh</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899"/>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2.1.2</w:t>
            </w:r>
          </w:p>
        </w:tc>
        <w:tc>
          <w:tcPr>
            <w:tcW w:w="3970" w:type="pct"/>
            <w:tcBorders>
              <w:top w:val="nil"/>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i/>
                <w:sz w:val="24"/>
                <w:szCs w:val="24"/>
                <w:lang w:eastAsia="vi-VN"/>
              </w:rPr>
            </w:pPr>
            <w:r w:rsidRPr="00A806BB">
              <w:rPr>
                <w:rFonts w:ascii="Times New Roman" w:hAnsi="Times New Roman" w:cs="Times New Roman"/>
                <w:sz w:val="24"/>
                <w:szCs w:val="24"/>
                <w:lang w:eastAsia="vi-VN"/>
              </w:rPr>
              <w:t>Phát hành trái phiếu, kỳ phiếu, chứng chỉ tiền gửi, giấy tờ có giá bằng đồng Việt Nam của Ngân hàng Phát triển</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840"/>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2.1.3</w:t>
            </w:r>
          </w:p>
        </w:tc>
        <w:tc>
          <w:tcPr>
            <w:tcW w:w="3970" w:type="pct"/>
            <w:tcBorders>
              <w:top w:val="nil"/>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Vay Bảo hiểm xã hội Việt Nam; vay của các tổ chức tài chính, tín dụng trong nước và nước ngoài</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2.1.4</w:t>
            </w:r>
          </w:p>
        </w:tc>
        <w:tc>
          <w:tcPr>
            <w:tcW w:w="3970" w:type="pct"/>
            <w:tcBorders>
              <w:top w:val="nil"/>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Vay Ngân hàng Nhà nước Việt Nam</w:t>
            </w:r>
          </w:p>
        </w:tc>
        <w:tc>
          <w:tcPr>
            <w:tcW w:w="597" w:type="pct"/>
            <w:tcBorders>
              <w:top w:val="nil"/>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2.1.5</w:t>
            </w:r>
          </w:p>
        </w:tc>
        <w:tc>
          <w:tcPr>
            <w:tcW w:w="3970" w:type="pct"/>
            <w:tcBorders>
              <w:top w:val="nil"/>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Huy động của các tổ chức khác trong và ngoài nước</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2.1.6</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Nhận tiền gửi ủy thác của các tổ chức, cá nhân trong và ngoài nước</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2.1.7</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EB31B0" w:rsidRDefault="00C03D15" w:rsidP="00C03D15">
            <w:pPr>
              <w:jc w:val="both"/>
              <w:rPr>
                <w:rFonts w:ascii="Times New Roman" w:hAnsi="Times New Roman" w:cs="Times New Roman"/>
                <w:sz w:val="24"/>
                <w:szCs w:val="24"/>
                <w:lang w:eastAsia="vi-VN"/>
              </w:rPr>
            </w:pPr>
            <w:r w:rsidRPr="00A806BB">
              <w:rPr>
                <w:rFonts w:ascii="Times New Roman" w:hAnsi="Times New Roman" w:cs="Times New Roman"/>
                <w:sz w:val="24"/>
                <w:szCs w:val="24"/>
                <w:lang w:eastAsia="vi-VN"/>
              </w:rPr>
              <w:t>Huy động các nguồn vốn khác theo quy định của pháp luật</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b/>
                <w:color w:val="FF0000"/>
                <w:sz w:val="24"/>
                <w:szCs w:val="24"/>
                <w:lang w:eastAsia="vi-VN"/>
              </w:rPr>
            </w:pPr>
            <w:r w:rsidRPr="00BB3B09">
              <w:rPr>
                <w:rFonts w:ascii="Times New Roman" w:hAnsi="Times New Roman" w:cs="Times New Roman"/>
                <w:b/>
                <w:color w:val="FF0000"/>
                <w:sz w:val="24"/>
                <w:szCs w:val="24"/>
                <w:lang w:eastAsia="vi-VN"/>
              </w:rPr>
              <w:lastRenderedPageBreak/>
              <w:t>2.2</w:t>
            </w:r>
          </w:p>
        </w:tc>
        <w:tc>
          <w:tcPr>
            <w:tcW w:w="4567" w:type="pct"/>
            <w:gridSpan w:val="2"/>
            <w:tcBorders>
              <w:top w:val="single" w:sz="4" w:space="0" w:color="auto"/>
              <w:left w:val="nil"/>
              <w:right w:val="single" w:sz="4" w:space="0" w:color="auto"/>
            </w:tcBorders>
            <w:shd w:val="clear" w:color="auto" w:fill="auto"/>
            <w:vAlign w:val="center"/>
          </w:tcPr>
          <w:p w:rsidR="00C03D15" w:rsidRDefault="00C03D15" w:rsidP="00C03D15">
            <w:pPr>
              <w:rPr>
                <w:rFonts w:ascii="Times New Roman" w:hAnsi="Times New Roman" w:cs="Times New Roman"/>
                <w:i/>
                <w:sz w:val="24"/>
                <w:szCs w:val="24"/>
                <w:lang w:eastAsia="vi-VN"/>
              </w:rPr>
            </w:pPr>
            <w:r w:rsidRPr="00A700D6">
              <w:rPr>
                <w:rFonts w:ascii="Times New Roman" w:hAnsi="Times New Roman" w:cs="Times New Roman"/>
                <w:i/>
                <w:sz w:val="24"/>
                <w:szCs w:val="24"/>
                <w:lang w:eastAsia="vi-VN"/>
              </w:rPr>
              <w:t xml:space="preserve"> Vốn chủ sở hữu được sử </w:t>
            </w:r>
            <w:r>
              <w:rPr>
                <w:rFonts w:ascii="Times New Roman" w:hAnsi="Times New Roman" w:cs="Times New Roman"/>
                <w:i/>
                <w:sz w:val="24"/>
                <w:szCs w:val="24"/>
                <w:lang w:eastAsia="vi-VN"/>
              </w:rPr>
              <w:t xml:space="preserve">dụng để cho vay </w:t>
            </w:r>
          </w:p>
          <w:p w:rsidR="00C03D15" w:rsidRPr="007E06B6" w:rsidRDefault="00C03D15" w:rsidP="00C03D15">
            <w:pPr>
              <w:rPr>
                <w:rFonts w:ascii="Times New Roman" w:hAnsi="Times New Roman" w:cs="Times New Roman"/>
                <w:b/>
                <w:sz w:val="24"/>
                <w:szCs w:val="24"/>
                <w:lang w:eastAsia="vi-VN"/>
              </w:rPr>
            </w:pPr>
            <w:r w:rsidRPr="00373600">
              <w:rPr>
                <w:rFonts w:ascii="Times New Roman" w:hAnsi="Times New Roman" w:cs="Times New Roman"/>
                <w:b/>
                <w:color w:val="FF0000"/>
                <w:sz w:val="24"/>
                <w:szCs w:val="24"/>
                <w:lang w:eastAsia="vi-VN"/>
              </w:rPr>
              <w:t>(2.2 = (2.2.1 + 2.2.2+…+2.2.7)   –  (2.2.8 + 2.2.9 + 2.2.10))</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2.2.1</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Vốn điều lệ ngân sách nhà nước cấp và được bổ sung từ quỹ dự trữ bổ sung vốn điều lệ, quỹ đầu tư phát triển hoặc các nguồn khác theo quy định của pháp luật</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2.2.2</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Vốn đầu tư xây dựng cơ bản do ngân sách nhà nước cấp</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2.2.3</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Các quỹ: Quỹ dự trữ bổ sung vốn điều lệ, quỹ đầu tư phát triển, quỹ dự phòng tài chính;</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2.2.4</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Chênh lệch do đánh giá lại tài sản; chênh lệch tỷ giá</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2.2.5</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Kết quả hoạt động chưa phân phối</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2.2.6</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Vốn tài trợ không hoàn lại của các tổ chức trong nước và nước ngoài</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2.2.7</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sz w:val="24"/>
                <w:szCs w:val="24"/>
                <w:lang w:eastAsia="vi-VN"/>
              </w:rPr>
            </w:pPr>
            <w:r w:rsidRPr="007E06B6">
              <w:rPr>
                <w:rFonts w:ascii="Times New Roman" w:hAnsi="Times New Roman" w:cs="Times New Roman"/>
                <w:sz w:val="24"/>
                <w:szCs w:val="24"/>
                <w:lang w:eastAsia="vi-VN"/>
              </w:rPr>
              <w:t>Vốn khác thuộc sở hữu của Ngân hàng Phát triển</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2.2.8</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color w:val="002060"/>
                <w:sz w:val="24"/>
                <w:szCs w:val="24"/>
                <w:lang w:eastAsia="vi-VN"/>
              </w:rPr>
            </w:pPr>
            <w:r w:rsidRPr="007E06B6">
              <w:rPr>
                <w:rFonts w:ascii="Times New Roman" w:hAnsi="Times New Roman" w:cs="Times New Roman"/>
                <w:color w:val="002060"/>
                <w:sz w:val="24"/>
                <w:szCs w:val="24"/>
                <w:lang w:eastAsia="vi-VN"/>
              </w:rPr>
              <w:t>Giá trị còn lại của tài sản cố định (được xác định bằng nguyên giá tài sản cố định trừ đi khấu hao lũy kế) và chi phí xây dựng cơ bản dở dang theo mức thực tế nhưng không vượt quá 25% vốn điều lệ và quỹ dự trữ bổ sung vốn điều lệ của Ngân hàng Phát triển Việt Nam</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2.2.9</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color w:val="002060"/>
                <w:sz w:val="24"/>
                <w:szCs w:val="24"/>
                <w:lang w:eastAsia="vi-VN"/>
              </w:rPr>
            </w:pPr>
            <w:r w:rsidRPr="007E06B6">
              <w:rPr>
                <w:rFonts w:ascii="Times New Roman" w:hAnsi="Times New Roman" w:cs="Times New Roman"/>
                <w:color w:val="002060"/>
                <w:sz w:val="24"/>
                <w:szCs w:val="24"/>
                <w:lang w:eastAsia="vi-VN"/>
              </w:rPr>
              <w:t>Số vốn điều lệ thực tế đã sử dụng để góp vốn điều lệ của Tổng công ty Phát triển hạ tầng và Đầu tư tài chính Việt Nam</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C03D15"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C03D15" w:rsidRPr="00BB3B09" w:rsidRDefault="00C03D15" w:rsidP="00C03D15">
            <w:pPr>
              <w:jc w:val="center"/>
              <w:rPr>
                <w:rFonts w:ascii="Times New Roman" w:hAnsi="Times New Roman" w:cs="Times New Roman"/>
                <w:color w:val="FF0000"/>
                <w:sz w:val="24"/>
                <w:szCs w:val="24"/>
                <w:lang w:eastAsia="vi-VN"/>
              </w:rPr>
            </w:pPr>
            <w:r w:rsidRPr="00BB3B09">
              <w:rPr>
                <w:rFonts w:ascii="Times New Roman" w:hAnsi="Times New Roman" w:cs="Times New Roman"/>
                <w:color w:val="FF0000"/>
                <w:sz w:val="24"/>
                <w:szCs w:val="24"/>
                <w:lang w:eastAsia="vi-VN"/>
              </w:rPr>
              <w:t>2.2.10</w:t>
            </w:r>
          </w:p>
        </w:tc>
        <w:tc>
          <w:tcPr>
            <w:tcW w:w="3970" w:type="pct"/>
            <w:tcBorders>
              <w:top w:val="single" w:sz="4" w:space="0" w:color="auto"/>
              <w:left w:val="nil"/>
              <w:bottom w:val="single" w:sz="4" w:space="0" w:color="auto"/>
              <w:right w:val="single" w:sz="4" w:space="0" w:color="auto"/>
            </w:tcBorders>
            <w:shd w:val="clear" w:color="auto" w:fill="auto"/>
            <w:vAlign w:val="center"/>
          </w:tcPr>
          <w:p w:rsidR="00C03D15" w:rsidRPr="007E06B6" w:rsidRDefault="00C03D15" w:rsidP="00C03D15">
            <w:pPr>
              <w:jc w:val="both"/>
              <w:rPr>
                <w:rFonts w:ascii="Times New Roman" w:hAnsi="Times New Roman" w:cs="Times New Roman"/>
                <w:color w:val="002060"/>
                <w:sz w:val="24"/>
                <w:szCs w:val="24"/>
                <w:lang w:eastAsia="vi-VN"/>
              </w:rPr>
            </w:pPr>
            <w:r w:rsidRPr="007E06B6">
              <w:rPr>
                <w:rFonts w:ascii="Times New Roman" w:hAnsi="Times New Roman" w:cs="Times New Roman"/>
                <w:color w:val="002060"/>
                <w:sz w:val="24"/>
                <w:szCs w:val="24"/>
                <w:lang w:eastAsia="vi-VN"/>
              </w:rPr>
              <w:t>Quỹ dự phòng tài chính</w:t>
            </w:r>
          </w:p>
        </w:tc>
        <w:tc>
          <w:tcPr>
            <w:tcW w:w="597" w:type="pct"/>
            <w:tcBorders>
              <w:top w:val="single" w:sz="4" w:space="0" w:color="auto"/>
              <w:left w:val="nil"/>
              <w:bottom w:val="single" w:sz="4" w:space="0" w:color="auto"/>
              <w:right w:val="single" w:sz="4" w:space="0" w:color="auto"/>
            </w:tcBorders>
            <w:shd w:val="clear" w:color="000000" w:fill="FFFFFF"/>
          </w:tcPr>
          <w:p w:rsidR="00C03D15" w:rsidRDefault="00C03D15" w:rsidP="00C03D15">
            <w:r w:rsidRPr="009D7BF9">
              <w:rPr>
                <w:rFonts w:ascii="Times New Roman" w:hAnsi="Times New Roman" w:cs="Times New Roman"/>
                <w:i/>
                <w:color w:val="FF0000"/>
                <w:sz w:val="24"/>
                <w:szCs w:val="24"/>
                <w:lang w:eastAsia="vi-VN"/>
              </w:rPr>
              <w:t>N(16.1)</w:t>
            </w:r>
          </w:p>
        </w:tc>
      </w:tr>
      <w:tr w:rsidR="00A700D6" w:rsidRPr="00EB31B0" w:rsidTr="00C03D15">
        <w:trPr>
          <w:trHeight w:val="567"/>
        </w:trPr>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rsidR="00A700D6" w:rsidRPr="00BB3B09" w:rsidRDefault="007E06B6" w:rsidP="00706A4A">
            <w:pPr>
              <w:jc w:val="center"/>
              <w:rPr>
                <w:rFonts w:ascii="Times New Roman" w:hAnsi="Times New Roman" w:cs="Times New Roman"/>
                <w:b/>
                <w:i/>
                <w:color w:val="FF0000"/>
                <w:sz w:val="24"/>
                <w:szCs w:val="24"/>
                <w:lang w:eastAsia="vi-VN"/>
              </w:rPr>
            </w:pPr>
            <w:r w:rsidRPr="00BB3B09">
              <w:rPr>
                <w:rFonts w:ascii="Times New Roman" w:hAnsi="Times New Roman" w:cs="Times New Roman"/>
                <w:b/>
                <w:i/>
                <w:color w:val="FF0000"/>
                <w:sz w:val="24"/>
                <w:szCs w:val="24"/>
                <w:lang w:eastAsia="vi-VN"/>
              </w:rPr>
              <w:t>3</w:t>
            </w:r>
          </w:p>
        </w:tc>
        <w:tc>
          <w:tcPr>
            <w:tcW w:w="3970" w:type="pct"/>
            <w:tcBorders>
              <w:top w:val="single" w:sz="4" w:space="0" w:color="auto"/>
              <w:left w:val="nil"/>
              <w:bottom w:val="single" w:sz="4" w:space="0" w:color="auto"/>
              <w:right w:val="single" w:sz="4" w:space="0" w:color="auto"/>
            </w:tcBorders>
            <w:shd w:val="clear" w:color="auto" w:fill="auto"/>
            <w:vAlign w:val="center"/>
          </w:tcPr>
          <w:p w:rsidR="00A700D6" w:rsidRDefault="00A700D6" w:rsidP="00706A4A">
            <w:pPr>
              <w:jc w:val="both"/>
              <w:rPr>
                <w:rFonts w:ascii="Times New Roman" w:hAnsi="Times New Roman" w:cs="Times New Roman"/>
                <w:b/>
                <w:i/>
                <w:sz w:val="24"/>
                <w:szCs w:val="24"/>
                <w:lang w:eastAsia="vi-VN"/>
              </w:rPr>
            </w:pPr>
            <w:r w:rsidRPr="00A700D6">
              <w:rPr>
                <w:rFonts w:ascii="Times New Roman" w:hAnsi="Times New Roman" w:cs="Times New Roman"/>
                <w:b/>
                <w:i/>
                <w:sz w:val="24"/>
                <w:szCs w:val="24"/>
                <w:lang w:eastAsia="vi-VN"/>
              </w:rPr>
              <w:t>Tỷ lệ dư nợ cho vay so với tổng nguồn vốn được sử dụng để cho vay</w:t>
            </w:r>
          </w:p>
          <w:p w:rsidR="00E00638" w:rsidRPr="00373600" w:rsidRDefault="00E00638" w:rsidP="007E06B6">
            <w:pPr>
              <w:jc w:val="both"/>
              <w:rPr>
                <w:rFonts w:ascii="Times New Roman" w:hAnsi="Times New Roman" w:cs="Times New Roman"/>
                <w:b/>
                <w:i/>
                <w:sz w:val="24"/>
                <w:szCs w:val="24"/>
                <w:lang w:eastAsia="vi-VN"/>
              </w:rPr>
            </w:pPr>
            <w:r w:rsidRPr="00373600">
              <w:rPr>
                <w:rFonts w:ascii="Times New Roman" w:hAnsi="Times New Roman" w:cs="Times New Roman"/>
                <w:b/>
                <w:color w:val="FF0000"/>
                <w:sz w:val="24"/>
                <w:szCs w:val="24"/>
                <w:lang w:eastAsia="vi-VN"/>
              </w:rPr>
              <w:t xml:space="preserve">           (</w:t>
            </w:r>
            <w:r w:rsidR="007E06B6" w:rsidRPr="00373600">
              <w:rPr>
                <w:rFonts w:ascii="Times New Roman" w:hAnsi="Times New Roman" w:cs="Times New Roman"/>
                <w:b/>
                <w:color w:val="FF0000"/>
                <w:sz w:val="24"/>
                <w:szCs w:val="24"/>
                <w:lang w:eastAsia="vi-VN"/>
              </w:rPr>
              <w:t>3</w:t>
            </w:r>
            <w:r w:rsidRPr="00373600">
              <w:rPr>
                <w:rFonts w:ascii="Times New Roman" w:hAnsi="Times New Roman" w:cs="Times New Roman"/>
                <w:b/>
                <w:color w:val="FF0000"/>
                <w:sz w:val="24"/>
                <w:szCs w:val="24"/>
                <w:lang w:eastAsia="vi-VN"/>
              </w:rPr>
              <w:t>)</w:t>
            </w:r>
            <w:r w:rsidR="007E06B6" w:rsidRPr="00373600">
              <w:rPr>
                <w:rFonts w:ascii="Times New Roman" w:hAnsi="Times New Roman" w:cs="Times New Roman"/>
                <w:b/>
                <w:color w:val="FF0000"/>
                <w:sz w:val="24"/>
                <w:szCs w:val="24"/>
                <w:lang w:eastAsia="vi-VN"/>
              </w:rPr>
              <w:t xml:space="preserve"> </w:t>
            </w:r>
            <w:r w:rsidRPr="00373600">
              <w:rPr>
                <w:rFonts w:ascii="Times New Roman" w:hAnsi="Times New Roman" w:cs="Times New Roman"/>
                <w:b/>
                <w:color w:val="FF0000"/>
                <w:sz w:val="24"/>
                <w:szCs w:val="24"/>
                <w:lang w:eastAsia="vi-VN"/>
              </w:rPr>
              <w:t>=</w:t>
            </w:r>
            <w:r w:rsidR="007E06B6" w:rsidRPr="00373600">
              <w:rPr>
                <w:rFonts w:ascii="Times New Roman" w:hAnsi="Times New Roman" w:cs="Times New Roman"/>
                <w:b/>
                <w:color w:val="FF0000"/>
                <w:sz w:val="24"/>
                <w:szCs w:val="24"/>
                <w:lang w:eastAsia="vi-VN"/>
              </w:rPr>
              <w:t xml:space="preserve"> (1</w:t>
            </w:r>
            <w:r w:rsidRPr="00373600">
              <w:rPr>
                <w:rFonts w:ascii="Times New Roman" w:hAnsi="Times New Roman" w:cs="Times New Roman"/>
                <w:b/>
                <w:color w:val="FF0000"/>
                <w:sz w:val="24"/>
                <w:szCs w:val="24"/>
                <w:lang w:eastAsia="vi-VN"/>
              </w:rPr>
              <w:t>)/(</w:t>
            </w:r>
            <w:r w:rsidR="007E06B6" w:rsidRPr="00373600">
              <w:rPr>
                <w:rFonts w:ascii="Times New Roman" w:hAnsi="Times New Roman" w:cs="Times New Roman"/>
                <w:b/>
                <w:color w:val="FF0000"/>
                <w:sz w:val="24"/>
                <w:szCs w:val="24"/>
                <w:lang w:eastAsia="vi-VN"/>
              </w:rPr>
              <w:t>2</w:t>
            </w:r>
            <w:r w:rsidRPr="00373600">
              <w:rPr>
                <w:rFonts w:ascii="Times New Roman" w:hAnsi="Times New Roman" w:cs="Times New Roman"/>
                <w:b/>
                <w:color w:val="FF0000"/>
                <w:sz w:val="24"/>
                <w:szCs w:val="24"/>
                <w:lang w:eastAsia="vi-VN"/>
              </w:rPr>
              <w:t>)*100%</w:t>
            </w:r>
          </w:p>
        </w:tc>
        <w:tc>
          <w:tcPr>
            <w:tcW w:w="597" w:type="pct"/>
            <w:tcBorders>
              <w:top w:val="single" w:sz="4" w:space="0" w:color="auto"/>
              <w:left w:val="nil"/>
              <w:bottom w:val="single" w:sz="4" w:space="0" w:color="auto"/>
              <w:right w:val="single" w:sz="4" w:space="0" w:color="auto"/>
            </w:tcBorders>
            <w:shd w:val="clear" w:color="000000" w:fill="FFFFFF"/>
            <w:vAlign w:val="center"/>
          </w:tcPr>
          <w:p w:rsidR="00A700D6" w:rsidRPr="00EB31B0" w:rsidRDefault="00C03D15" w:rsidP="00706A4A">
            <w:pPr>
              <w:rPr>
                <w:rFonts w:ascii="Times New Roman" w:hAnsi="Times New Roman" w:cs="Times New Roman"/>
                <w:sz w:val="24"/>
                <w:szCs w:val="24"/>
                <w:lang w:eastAsia="vi-VN"/>
              </w:rPr>
            </w:pPr>
            <w:r>
              <w:rPr>
                <w:rFonts w:ascii="Times New Roman" w:hAnsi="Times New Roman" w:cs="Times New Roman"/>
                <w:sz w:val="24"/>
                <w:szCs w:val="24"/>
                <w:lang w:eastAsia="vi-VN"/>
              </w:rPr>
              <w:t>N(3.2)</w:t>
            </w:r>
          </w:p>
        </w:tc>
      </w:tr>
    </w:tbl>
    <w:p w:rsidR="006A5F0F" w:rsidRPr="00EB31B0" w:rsidRDefault="006A5F0F" w:rsidP="006A5F0F">
      <w:pPr>
        <w:rPr>
          <w:rFonts w:ascii="Times New Roman" w:hAnsi="Times New Roman" w:cs="Times New Roman"/>
          <w:sz w:val="24"/>
          <w:szCs w:val="24"/>
          <w:lang w:eastAsia="vi-VN"/>
        </w:rPr>
      </w:pPr>
    </w:p>
    <w:p w:rsidR="006A5F0F" w:rsidRPr="00EB31B0" w:rsidRDefault="006A5F0F" w:rsidP="006A5F0F">
      <w:pPr>
        <w:spacing w:line="288" w:lineRule="auto"/>
        <w:ind w:left="142" w:right="-282"/>
        <w:jc w:val="both"/>
        <w:rPr>
          <w:rFonts w:ascii="Times New Roman" w:hAnsi="Times New Roman" w:cs="Times New Roman"/>
          <w:sz w:val="24"/>
          <w:szCs w:val="24"/>
          <w:lang w:eastAsia="vi-VN"/>
        </w:rPr>
      </w:pPr>
      <w:r w:rsidRPr="00EB31B0">
        <w:rPr>
          <w:rFonts w:ascii="Times New Roman" w:hAnsi="Times New Roman" w:cs="Times New Roman"/>
          <w:b/>
          <w:i/>
          <w:sz w:val="24"/>
          <w:szCs w:val="24"/>
          <w:lang w:eastAsia="vi-VN"/>
        </w:rPr>
        <w:t>1. Đối tượng áp dụng:</w:t>
      </w:r>
      <w:r w:rsidRPr="00EB31B0">
        <w:rPr>
          <w:rFonts w:ascii="Times New Roman" w:hAnsi="Times New Roman" w:cs="Times New Roman"/>
          <w:sz w:val="24"/>
          <w:szCs w:val="24"/>
          <w:lang w:eastAsia="vi-VN"/>
        </w:rPr>
        <w:t xml:space="preserve"> Ngân hàng Phát triển Việt Nam. </w:t>
      </w:r>
    </w:p>
    <w:p w:rsidR="006A5F0F" w:rsidRPr="00EB31B0" w:rsidRDefault="006A5F0F" w:rsidP="006A5F0F">
      <w:pPr>
        <w:tabs>
          <w:tab w:val="left" w:pos="4467"/>
          <w:tab w:val="left" w:pos="5088"/>
          <w:tab w:val="left" w:pos="5824"/>
          <w:tab w:val="left" w:pos="6837"/>
          <w:tab w:val="left" w:pos="7552"/>
          <w:tab w:val="left" w:pos="8366"/>
          <w:tab w:val="left" w:pos="9620"/>
          <w:tab w:val="left" w:pos="10241"/>
          <w:tab w:val="left" w:pos="10977"/>
          <w:tab w:val="left" w:pos="11990"/>
          <w:tab w:val="left" w:pos="12708"/>
          <w:tab w:val="left" w:pos="13524"/>
        </w:tabs>
        <w:spacing w:line="288" w:lineRule="auto"/>
        <w:ind w:left="142" w:right="-282"/>
        <w:jc w:val="both"/>
        <w:rPr>
          <w:rFonts w:ascii="Times New Roman" w:hAnsi="Times New Roman" w:cs="Times New Roman"/>
          <w:sz w:val="24"/>
          <w:szCs w:val="24"/>
          <w:lang w:eastAsia="vi-VN"/>
        </w:rPr>
      </w:pPr>
      <w:r w:rsidRPr="00EB31B0">
        <w:rPr>
          <w:rFonts w:ascii="Times New Roman" w:hAnsi="Times New Roman" w:cs="Times New Roman"/>
          <w:b/>
          <w:bCs/>
          <w:i/>
          <w:color w:val="000000" w:themeColor="text1"/>
          <w:sz w:val="24"/>
          <w:szCs w:val="24"/>
          <w:lang w:eastAsia="vi-VN"/>
        </w:rPr>
        <w:t>2.</w:t>
      </w:r>
      <w:r w:rsidRPr="00EB31B0">
        <w:rPr>
          <w:rFonts w:ascii="Times New Roman" w:hAnsi="Times New Roman" w:cs="Times New Roman"/>
          <w:i/>
          <w:sz w:val="24"/>
          <w:szCs w:val="24"/>
          <w:lang w:eastAsia="vi-VN"/>
        </w:rPr>
        <w:t xml:space="preserve"> </w:t>
      </w:r>
      <w:r w:rsidRPr="00EB31B0">
        <w:rPr>
          <w:rFonts w:ascii="Times New Roman" w:hAnsi="Times New Roman" w:cs="Times New Roman"/>
          <w:b/>
          <w:i/>
          <w:sz w:val="24"/>
          <w:szCs w:val="24"/>
          <w:lang w:eastAsia="vi-VN"/>
        </w:rPr>
        <w:t>Yêu cầu số liệu báo cáo:</w:t>
      </w:r>
      <w:r w:rsidRPr="00EB31B0">
        <w:rPr>
          <w:rFonts w:ascii="Times New Roman" w:hAnsi="Times New Roman" w:cs="Times New Roman"/>
          <w:i/>
          <w:sz w:val="24"/>
          <w:szCs w:val="24"/>
          <w:lang w:eastAsia="vi-VN"/>
        </w:rPr>
        <w:t xml:space="preserve"> </w:t>
      </w:r>
      <w:r w:rsidRPr="00EB31B0">
        <w:rPr>
          <w:rFonts w:ascii="Times New Roman" w:hAnsi="Times New Roman" w:cs="Times New Roman"/>
          <w:sz w:val="24"/>
          <w:szCs w:val="24"/>
          <w:lang w:eastAsia="vi-VN"/>
        </w:rPr>
        <w:t xml:space="preserve">Trụ sở </w:t>
      </w:r>
      <w:r w:rsidR="00BD343F">
        <w:rPr>
          <w:rFonts w:ascii="Times New Roman" w:hAnsi="Times New Roman" w:cs="Times New Roman"/>
          <w:sz w:val="24"/>
          <w:szCs w:val="24"/>
          <w:lang w:eastAsia="vi-VN"/>
        </w:rPr>
        <w:t>chính Ngân hàng Phát triển Việt Nam tổng hợp số liệu toàn hệ thống gửi NHNN thông qua Cục Công nghệ thông tin</w:t>
      </w:r>
      <w:r w:rsidRPr="00EB31B0">
        <w:rPr>
          <w:rFonts w:ascii="Times New Roman" w:hAnsi="Times New Roman" w:cs="Times New Roman"/>
          <w:sz w:val="24"/>
          <w:szCs w:val="24"/>
          <w:lang w:eastAsia="vi-VN"/>
        </w:rPr>
        <w:t>.</w:t>
      </w:r>
    </w:p>
    <w:p w:rsidR="006A5F0F" w:rsidRPr="00EB31B0" w:rsidRDefault="006A5F0F" w:rsidP="006A5F0F">
      <w:pPr>
        <w:spacing w:line="288" w:lineRule="auto"/>
        <w:ind w:left="142" w:right="-282"/>
        <w:jc w:val="both"/>
        <w:rPr>
          <w:rFonts w:ascii="Times New Roman" w:hAnsi="Times New Roman" w:cs="Times New Roman"/>
          <w:color w:val="000000" w:themeColor="text1"/>
          <w:sz w:val="24"/>
          <w:szCs w:val="24"/>
          <w:lang w:eastAsia="vi-VN"/>
        </w:rPr>
      </w:pPr>
      <w:r w:rsidRPr="00EB31B0">
        <w:rPr>
          <w:rFonts w:ascii="Times New Roman" w:hAnsi="Times New Roman" w:cs="Times New Roman"/>
          <w:b/>
          <w:i/>
          <w:sz w:val="24"/>
          <w:szCs w:val="24"/>
          <w:lang w:eastAsia="vi-VN"/>
        </w:rPr>
        <w:t>3. Thời hạn gửi báo cáo:</w:t>
      </w:r>
      <w:r w:rsidRPr="00EB31B0">
        <w:rPr>
          <w:rFonts w:ascii="Times New Roman" w:hAnsi="Times New Roman" w:cs="Times New Roman"/>
          <w:sz w:val="24"/>
          <w:szCs w:val="24"/>
          <w:lang w:eastAsia="vi-VN"/>
        </w:rPr>
        <w:t xml:space="preserve"> </w:t>
      </w:r>
      <w:r w:rsidRPr="00EB31B0">
        <w:rPr>
          <w:rFonts w:ascii="Times New Roman" w:hAnsi="Times New Roman" w:cs="Times New Roman"/>
          <w:color w:val="000000" w:themeColor="text1"/>
          <w:sz w:val="24"/>
          <w:szCs w:val="24"/>
          <w:lang w:eastAsia="vi-VN"/>
        </w:rPr>
        <w:t xml:space="preserve">Chậm nhất ngày </w:t>
      </w:r>
      <w:r w:rsidR="00BD343F">
        <w:rPr>
          <w:rFonts w:ascii="Times New Roman" w:hAnsi="Times New Roman" w:cs="Times New Roman"/>
          <w:color w:val="000000" w:themeColor="text1"/>
          <w:sz w:val="24"/>
          <w:szCs w:val="24"/>
          <w:lang w:eastAsia="vi-VN"/>
        </w:rPr>
        <w:t>12 của tháng tiếp theo ngay sau tháng báo cáo</w:t>
      </w:r>
      <w:r w:rsidRPr="00EB31B0">
        <w:rPr>
          <w:rFonts w:ascii="Times New Roman" w:hAnsi="Times New Roman" w:cs="Times New Roman"/>
          <w:color w:val="000000" w:themeColor="text1"/>
          <w:sz w:val="24"/>
          <w:szCs w:val="24"/>
          <w:lang w:eastAsia="vi-VN"/>
        </w:rPr>
        <w:t>.</w:t>
      </w:r>
    </w:p>
    <w:p w:rsidR="00BD343F" w:rsidRDefault="006A5F0F" w:rsidP="006A5F0F">
      <w:pPr>
        <w:spacing w:line="288" w:lineRule="auto"/>
        <w:ind w:left="142" w:right="-282"/>
        <w:jc w:val="both"/>
        <w:rPr>
          <w:rFonts w:ascii="Times New Roman" w:hAnsi="Times New Roman" w:cs="Times New Roman"/>
          <w:color w:val="000000"/>
          <w:sz w:val="24"/>
          <w:szCs w:val="24"/>
          <w:lang w:eastAsia="en-AU"/>
        </w:rPr>
      </w:pPr>
      <w:r w:rsidRPr="00EB31B0">
        <w:rPr>
          <w:rFonts w:ascii="Times New Roman" w:hAnsi="Times New Roman" w:cs="Times New Roman"/>
          <w:b/>
          <w:bCs/>
          <w:i/>
          <w:iCs/>
          <w:color w:val="000000"/>
          <w:sz w:val="24"/>
          <w:szCs w:val="24"/>
          <w:lang w:eastAsia="en-AU"/>
        </w:rPr>
        <w:t>4. Đơn vị nhận và duyệt báo cáo:</w:t>
      </w:r>
      <w:r w:rsidRPr="00EB31B0">
        <w:rPr>
          <w:rFonts w:ascii="Times New Roman" w:hAnsi="Times New Roman" w:cs="Times New Roman"/>
          <w:b/>
          <w:bCs/>
          <w:color w:val="000000"/>
          <w:sz w:val="24"/>
          <w:szCs w:val="24"/>
          <w:lang w:eastAsia="en-AU"/>
        </w:rPr>
        <w:t xml:space="preserve"> </w:t>
      </w:r>
      <w:r w:rsidRPr="00EB31B0">
        <w:rPr>
          <w:rFonts w:ascii="Times New Roman" w:hAnsi="Times New Roman" w:cs="Times New Roman"/>
          <w:color w:val="000000"/>
          <w:sz w:val="24"/>
          <w:szCs w:val="24"/>
          <w:lang w:eastAsia="en-AU"/>
        </w:rPr>
        <w:t>Cơ quan Thanh tra, giám sát ngân hàng</w:t>
      </w:r>
      <w:r w:rsidR="00BD343F">
        <w:rPr>
          <w:rFonts w:ascii="Times New Roman" w:hAnsi="Times New Roman" w:cs="Times New Roman"/>
          <w:color w:val="000000"/>
          <w:sz w:val="24"/>
          <w:szCs w:val="24"/>
          <w:lang w:eastAsia="en-AU"/>
        </w:rPr>
        <w:t>.</w:t>
      </w:r>
    </w:p>
    <w:p w:rsidR="006A5F0F" w:rsidRDefault="006A5F0F" w:rsidP="006A5F0F">
      <w:pPr>
        <w:spacing w:line="288" w:lineRule="auto"/>
        <w:ind w:left="142" w:right="-282"/>
        <w:jc w:val="both"/>
        <w:rPr>
          <w:rFonts w:ascii="Times New Roman" w:hAnsi="Times New Roman" w:cs="Times New Roman"/>
          <w:b/>
          <w:i/>
          <w:sz w:val="24"/>
          <w:szCs w:val="24"/>
          <w:lang w:eastAsia="vi-VN"/>
        </w:rPr>
      </w:pPr>
      <w:r w:rsidRPr="00EB31B0">
        <w:rPr>
          <w:rFonts w:ascii="Times New Roman" w:hAnsi="Times New Roman" w:cs="Times New Roman"/>
          <w:b/>
          <w:i/>
          <w:sz w:val="24"/>
          <w:szCs w:val="24"/>
          <w:lang w:eastAsia="vi-VN"/>
        </w:rPr>
        <w:t xml:space="preserve">5. Hướng dẫn lập báo cáo: </w:t>
      </w:r>
    </w:p>
    <w:p w:rsidR="00BD343F" w:rsidRDefault="00BD343F" w:rsidP="006A5F0F">
      <w:pPr>
        <w:spacing w:line="288" w:lineRule="auto"/>
        <w:ind w:left="142" w:right="-282"/>
        <w:jc w:val="both"/>
        <w:rPr>
          <w:rFonts w:ascii="Times New Roman" w:hAnsi="Times New Roman" w:cs="Times New Roman"/>
          <w:sz w:val="24"/>
          <w:szCs w:val="24"/>
          <w:lang w:eastAsia="vi-VN"/>
        </w:rPr>
      </w:pPr>
      <w:r>
        <w:rPr>
          <w:rFonts w:ascii="Times New Roman" w:hAnsi="Times New Roman" w:cs="Times New Roman"/>
          <w:sz w:val="24"/>
          <w:szCs w:val="24"/>
          <w:lang w:eastAsia="vi-VN"/>
        </w:rPr>
        <w:t>- Đơn vị tính theo đồng Việt Nam. Ngoại tệ bao gồm đô la Mỹ và các loại ngoại tệ tự do chuyển đổi khác quy đổi sang đồng Việt Nam thực hiện theo quy định của Ngân hàng Nhà nước về các giới hạn, tỷ lệ bảo đảm an toàn trong hoạt động của Ngân hàng Phát triển Việt Nam (Thông tư 07/2019/TT-NHNN 03/7/2019</w:t>
      </w:r>
      <w:r w:rsidR="00267A02">
        <w:rPr>
          <w:rFonts w:ascii="Times New Roman" w:hAnsi="Times New Roman" w:cs="Times New Roman"/>
          <w:sz w:val="24"/>
          <w:szCs w:val="24"/>
          <w:lang w:eastAsia="vi-VN"/>
        </w:rPr>
        <w:t xml:space="preserve"> và </w:t>
      </w:r>
      <w:r w:rsidR="00267A02" w:rsidRPr="00E00638">
        <w:rPr>
          <w:rFonts w:ascii="Times New Roman" w:hAnsi="Times New Roman" w:cs="Times New Roman"/>
          <w:color w:val="FF0000"/>
          <w:sz w:val="24"/>
          <w:szCs w:val="24"/>
          <w:lang w:eastAsia="vi-VN"/>
        </w:rPr>
        <w:t>Thông tư 07/2022/TT-NHNN ngày 30/06/2022</w:t>
      </w:r>
      <w:r w:rsidRPr="00E00638">
        <w:rPr>
          <w:rFonts w:ascii="Times New Roman" w:hAnsi="Times New Roman" w:cs="Times New Roman"/>
          <w:color w:val="FF0000"/>
          <w:sz w:val="24"/>
          <w:szCs w:val="24"/>
          <w:lang w:eastAsia="vi-VN"/>
        </w:rPr>
        <w:t xml:space="preserve"> </w:t>
      </w:r>
      <w:r>
        <w:rPr>
          <w:rFonts w:ascii="Times New Roman" w:hAnsi="Times New Roman" w:cs="Times New Roman"/>
          <w:sz w:val="24"/>
          <w:szCs w:val="24"/>
          <w:lang w:eastAsia="vi-VN"/>
        </w:rPr>
        <w:t>và các văn bản quy phạm pháp luật sửa đổi, bổ sung hoặc thay thế khác (nếu có) của NHNN).</w:t>
      </w:r>
    </w:p>
    <w:p w:rsidR="00BD343F" w:rsidRDefault="00BD343F" w:rsidP="006A5F0F">
      <w:pPr>
        <w:spacing w:line="288" w:lineRule="auto"/>
        <w:ind w:left="142" w:right="-282"/>
        <w:jc w:val="both"/>
        <w:rPr>
          <w:rFonts w:ascii="Times New Roman" w:hAnsi="Times New Roman" w:cs="Times New Roman"/>
          <w:sz w:val="24"/>
          <w:szCs w:val="24"/>
          <w:lang w:eastAsia="vi-VN"/>
        </w:rPr>
      </w:pPr>
      <w:r>
        <w:rPr>
          <w:rFonts w:ascii="Times New Roman" w:hAnsi="Times New Roman" w:cs="Times New Roman"/>
          <w:sz w:val="24"/>
          <w:szCs w:val="24"/>
          <w:lang w:eastAsia="vi-VN"/>
        </w:rPr>
        <w:t>- Các chỉ tiêu này được thực hiện theo quy định hiện hành của NHNN về các tỷ lệ bảo đảm an toàn trong hoạt động của Ngân hàng Phát triển Việt Nam.</w:t>
      </w:r>
    </w:p>
    <w:p w:rsidR="00BD343F" w:rsidRPr="00BD343F" w:rsidRDefault="00BD343F" w:rsidP="006A5F0F">
      <w:pPr>
        <w:spacing w:line="288" w:lineRule="auto"/>
        <w:ind w:left="142" w:right="-282"/>
        <w:jc w:val="both"/>
        <w:rPr>
          <w:rFonts w:ascii="Times New Roman" w:hAnsi="Times New Roman" w:cs="Times New Roman"/>
          <w:sz w:val="24"/>
          <w:szCs w:val="24"/>
          <w:lang w:eastAsia="vi-VN"/>
        </w:rPr>
      </w:pPr>
      <w:r>
        <w:rPr>
          <w:rFonts w:ascii="Times New Roman" w:hAnsi="Times New Roman" w:cs="Times New Roman"/>
          <w:sz w:val="24"/>
          <w:szCs w:val="24"/>
          <w:lang w:eastAsia="vi-VN"/>
        </w:rPr>
        <w:t>- Chỉ tiêu (III)=(I)/(II)*100%. Khi báo cáo không ghi dấu (%) bên cạnh, lấy 02 chữ số sau dấu phẩy.</w:t>
      </w:r>
    </w:p>
    <w:p w:rsidR="00302FBC" w:rsidRDefault="00302FBC"/>
    <w:sectPr w:rsidR="00302FBC" w:rsidSect="00C355A5">
      <w:pgSz w:w="11906" w:h="16838" w:code="9"/>
      <w:pgMar w:top="1134" w:right="1134" w:bottom="1134" w:left="1701" w:header="510" w:footer="45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A23FFB"/>
    <w:multiLevelType w:val="hybridMultilevel"/>
    <w:tmpl w:val="D196E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F0F"/>
    <w:rsid w:val="001A4F19"/>
    <w:rsid w:val="002311B1"/>
    <w:rsid w:val="00267A02"/>
    <w:rsid w:val="00302FBC"/>
    <w:rsid w:val="00373600"/>
    <w:rsid w:val="006A5F0F"/>
    <w:rsid w:val="00706A4A"/>
    <w:rsid w:val="00717DF6"/>
    <w:rsid w:val="007876DC"/>
    <w:rsid w:val="007E06B6"/>
    <w:rsid w:val="008E487A"/>
    <w:rsid w:val="00A700D6"/>
    <w:rsid w:val="00A806BB"/>
    <w:rsid w:val="00AD61F7"/>
    <w:rsid w:val="00BB3B09"/>
    <w:rsid w:val="00BD343F"/>
    <w:rsid w:val="00C03D15"/>
    <w:rsid w:val="00C355A5"/>
    <w:rsid w:val="00E00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40EC"/>
  <w15:docId w15:val="{F85BC545-A165-40BE-B93E-78C252E08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F0F"/>
    <w:pPr>
      <w:spacing w:after="0" w:line="240" w:lineRule="auto"/>
    </w:pPr>
    <w:rPr>
      <w:rFonts w:ascii=".VnTime" w:eastAsia="Times New Roman" w:hAnsi=".VnTime" w:cs=".VnTime"/>
      <w:sz w:val="28"/>
      <w:szCs w:val="28"/>
    </w:rPr>
  </w:style>
  <w:style w:type="paragraph" w:styleId="Heading3">
    <w:name w:val="heading 3"/>
    <w:basedOn w:val="Normal"/>
    <w:next w:val="Normal"/>
    <w:link w:val="Heading3Char"/>
    <w:qFormat/>
    <w:rsid w:val="006A5F0F"/>
    <w:pPr>
      <w:keepNext/>
      <w:ind w:firstLine="720"/>
      <w:outlineLvl w:val="2"/>
    </w:pPr>
    <w:rPr>
      <w:rFonts w:ascii="Cambria"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A5F0F"/>
    <w:rPr>
      <w:rFonts w:ascii="Cambria" w:eastAsia="Times New Roman" w:hAnsi="Cambria" w:cs="Times New Roman"/>
      <w:b/>
      <w:bCs/>
      <w:sz w:val="26"/>
      <w:szCs w:val="26"/>
    </w:rPr>
  </w:style>
  <w:style w:type="paragraph" w:styleId="ListParagraph">
    <w:name w:val="List Paragraph"/>
    <w:basedOn w:val="Normal"/>
    <w:uiPriority w:val="34"/>
    <w:qFormat/>
    <w:rsid w:val="00A806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5478D2C6DD5A4FBCA9633FB76EF110" ma:contentTypeVersion="0" ma:contentTypeDescription="Create a new document." ma:contentTypeScope="" ma:versionID="b6da3576b147be201284a637a4f33b0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C5330-F2E4-4E41-BB5D-DD07DCE5D468}">
  <ds:schemaRefs>
    <ds:schemaRef ds:uri="http://schemas.microsoft.com/sharepoint/v3/contenttype/forms"/>
  </ds:schemaRefs>
</ds:datastoreItem>
</file>

<file path=customXml/itemProps2.xml><?xml version="1.0" encoding="utf-8"?>
<ds:datastoreItem xmlns:ds="http://schemas.openxmlformats.org/officeDocument/2006/customXml" ds:itemID="{C57284D7-6B8B-42AC-908E-AFA6D4FE6B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DF7D49-9A5A-4A55-B9E6-B591F529B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0A0CC95-363A-4329-B838-BDF0F0BA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Thu Trang (TTGSNH)</dc:creator>
  <cp:lastModifiedBy>Pham Thi ut (CNTT)</cp:lastModifiedBy>
  <cp:revision>8</cp:revision>
  <dcterms:created xsi:type="dcterms:W3CDTF">2022-07-12T09:08:00Z</dcterms:created>
  <dcterms:modified xsi:type="dcterms:W3CDTF">2022-09-15T08:04:00Z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0x010100FB5478D2C6DD5A4FBCA9633FB76EF110</vt:lpwstr>
  </property>
</Properties>
</file>